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/>
        <w:drawing>
          <wp:inline distT="0" distB="0" distL="0" distR="0">
            <wp:extent cx="5750560" cy="723900"/>
            <wp:effectExtent l="0" t="0" r="0" b="0"/>
            <wp:docPr id="1" name="Obrázo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0"/>
        <w:gridCol w:w="4521"/>
      </w:tblGrid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27. 06.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2022- Pondelok párny týždeň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454" w:hanging="42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lang w:val="sk-SK"/>
              </w:rPr>
            </w:pPr>
            <w:hyperlink r:id="rId3">
              <w:r>
                <w:rPr>
                  <w:rStyle w:val="Internetovodkaz"/>
                  <w:lang w:val="sk-SK"/>
                </w:rPr>
                <w:t>https://oasl.edupage.org/a/gramotnostou-k-trhu-prace</w:t>
              </w:r>
            </w:hyperlink>
          </w:p>
        </w:tc>
      </w:tr>
    </w:tbl>
    <w:p>
      <w:pPr>
        <w:pStyle w:val="Normal"/>
        <w:tabs>
          <w:tab w:val="clear" w:pos="708"/>
          <w:tab w:val="left" w:pos="1114" w:leader="none"/>
        </w:tabs>
        <w:spacing w:lineRule="auto" w:line="240" w:before="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</w:p>
    <w:tbl>
      <w:tblPr>
        <w:tblW w:w="90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71"/>
      </w:tblGrid>
      <w:tr>
        <w:trPr>
          <w:trHeight w:val="567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ind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i/>
                <w:lang w:val="sk-SK"/>
              </w:rPr>
              <w:t>Stručná anotácia:</w:t>
            </w:r>
            <w:r>
              <w:rPr>
                <w:lang w:val="sk-SK"/>
              </w:rPr>
              <w:t xml:space="preserve"> Na tomto sedení sme sa </w:t>
            </w:r>
            <w:r>
              <w:rPr/>
              <w:t>zaoberali využívaním didaktických hier a aktivít na, ktorých cieľom je zatraktívniť hodiny anglického jazyka. Tieto activity a úlohy sú určené učiteľom cudzích jazykov stredných škôl. Ďalej opisujeme konkrétne hry a aktivity, ktorých hlavnou úlohou je rozvíjať komunikačné schopnosti, tvorivosť, kognitivizáciu, logiku a pamäť žiakov.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</w:r>
          </w:p>
          <w:p>
            <w:pPr>
              <w:pStyle w:val="TableParagraph"/>
              <w:widowControl w:val="false"/>
              <w:jc w:val="both"/>
              <w:rPr/>
            </w:pPr>
            <w:r>
              <w:rPr>
                <w:b/>
                <w:i/>
                <w:lang w:val="sk-SK"/>
              </w:rPr>
              <w:t>Kľúčové slová:</w:t>
            </w:r>
            <w:r>
              <w:rPr>
                <w:b/>
                <w:lang w:val="sk-SK"/>
              </w:rPr>
              <w:t xml:space="preserve">  </w:t>
            </w:r>
            <w:r>
              <w:rPr>
                <w:lang w:val="sk-SK"/>
              </w:rPr>
              <w:t>skupinové vyučovanie, práca vo dvojicach,</w:t>
            </w:r>
            <w:r>
              <w:rPr>
                <w:b/>
                <w:lang w:val="sk-SK"/>
              </w:rPr>
              <w:t xml:space="preserve"> </w:t>
            </w:r>
            <w:r>
              <w:rPr>
                <w:lang w:val="sk-SK"/>
              </w:rPr>
              <w:t>d</w:t>
            </w:r>
            <w:r>
              <w:rPr/>
              <w:t>idaktická hra, tvorivosť, hranie rolí, forma práce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>
          <w:trHeight w:val="58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ind w:hanging="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  <w:t>Zámerom  stretnutia</w:t>
            </w:r>
            <w:r>
              <w:rPr>
                <w:b/>
                <w:lang w:val="sk-SK"/>
              </w:rPr>
              <w:t xml:space="preserve">, </w:t>
            </w:r>
            <w:r>
              <w:rPr>
                <w:lang w:val="sk-SK"/>
              </w:rPr>
              <w:t xml:space="preserve">ktoré viedla koordinátorka činnosti klubu bolo  podeliť sa o skúsenosti pri používaní rôznych druhov úloh, ktoré sa využívajú pri skupinovom vyučovaní. Učitelia spoločne diskutovali o konkrétnych cvičeniach a úlohách, ktoré zadávajú svojim žiakom.  </w:t>
            </w:r>
          </w:p>
          <w:p>
            <w:pPr>
              <w:pStyle w:val="TableParagraph"/>
              <w:widowControl w:val="false"/>
              <w:jc w:val="both"/>
              <w:rPr>
                <w:lang w:val="sk-SK"/>
              </w:rPr>
            </w:pPr>
            <w:r>
              <w:rPr>
                <w:lang w:val="sk-SK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Téma stretnutia</w:t>
            </w:r>
          </w:p>
          <w:p>
            <w:pPr>
              <w:pStyle w:val="TableParagraph"/>
              <w:widowControl w:val="false"/>
              <w:jc w:val="both"/>
              <w:rPr>
                <w:u w:val="single"/>
                <w:lang w:val="sk-SK"/>
              </w:rPr>
            </w:pPr>
            <w:r>
              <w:rPr>
                <w:u w:val="single"/>
                <w:lang w:val="sk-SK"/>
              </w:rPr>
              <w:t>Sumarizácia  tvorba databázy úloh pre skupinové vyučovanie</w:t>
            </w:r>
          </w:p>
          <w:p>
            <w:pPr>
              <w:pStyle w:val="TableParagraph"/>
              <w:widowControl w:val="false"/>
              <w:jc w:val="both"/>
              <w:rPr>
                <w:u w:val="single"/>
                <w:lang w:val="sk-SK"/>
              </w:rPr>
            </w:pPr>
            <w:r>
              <w:rPr>
                <w:u w:val="single"/>
                <w:lang w:val="sk-SK"/>
              </w:rPr>
            </w:r>
          </w:p>
          <w:p>
            <w:pPr>
              <w:pStyle w:val="TableParagraph"/>
              <w:widowControl w:val="false"/>
              <w:jc w:val="both"/>
              <w:rPr>
                <w:b/>
                <w:b/>
                <w:i/>
                <w:i/>
                <w:lang w:val="sk-SK"/>
              </w:rPr>
            </w:pPr>
            <w:r>
              <w:rPr>
                <w:b/>
                <w:i/>
                <w:lang w:val="sk-SK"/>
              </w:rPr>
              <w:t xml:space="preserve">Definovanie problému </w:t>
            </w:r>
          </w:p>
          <w:p>
            <w:pPr>
              <w:pStyle w:val="TableParagraph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prácu v skupinách je vhodné vedieť oblasti, ale aj prostriedky na dosiahnutie cieľa vo vyučovaní. Skupinové vyučovanie je vhodným prostriedkom na dosiahnutie výsledkov v týchto oblastiach:</w:t>
            </w:r>
          </w:p>
          <w:p>
            <w:pPr>
              <w:pStyle w:val="TableParagraph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v oblasti spolupráce, ktorá účinne podporuje pojmové učenie, spôsobilosť tvorivo riešiť problémy, rozvíja ústnu komunikáciu. </w:t>
            </w:r>
          </w:p>
          <w:p>
            <w:pPr>
              <w:pStyle w:val="TableParagraph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sociálna oblasť- sociálne ciele. Každý z nás členom rôznych skupín, ak by sme patrili iba do jednej skupiny, naše skúsenosti by boli obmedzené. Podobne je to aj v triede, kde pružne zoskupujeme žiakov do skupín rôznej dĺžky trvania, podľa cieľa skupinovej práce. </w:t>
            </w:r>
          </w:p>
          <w:p>
            <w:pPr>
              <w:pStyle w:val="TableParagraph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oblast riešenia problémov- žiaci, ktorí sú dlhodobo členmi v skupine, kde cítia podporu a akceptovanie zo strany spolužiakov, majú menej disciplinárnych problémov, ich správanie sa stáva zodpovednejšie a dosahujú vyššie výkony v učení.</w:t>
            </w:r>
          </w:p>
          <w:p>
            <w:pPr>
              <w:pStyle w:val="TableParagraph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V jednej z teórií  sa uvádza, že nesmelí žiaci ktorí by sami pred triedou nevystúpili sa nechajú ľahšie primäť k aktivite v skupine. Práca v skupinách tiež väčšinou znamená sebakontrolu a vzájomnú pomoc, pri ktorých sú nedorozumenia odstraňované v pomerne dobrej atmosfére. Skupinová práca je nielen zábavnou činnosťou sama o sebe, skrýva tiež obrovský učebný potenciál. Vedie žiakov k utrieďovaniu novej látky a k tomu, aby za učenie prijímali zodpovednosť. Žiaci majú možnosť precvičovať si vyššie duševné schopnosti ako je tvorivosť, hodnotenie či schopnosť syntézy a analýzy..</w:t>
            </w:r>
          </w:p>
          <w:p>
            <w:pPr>
              <w:pStyle w:val="TableParagraph"/>
              <w:widowControl w:val="false"/>
              <w:jc w:val="both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16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13. </w:t>
            </w:r>
            <w:r>
              <w:rPr>
                <w:rFonts w:ascii="Times New Roman" w:hAnsi="Times New Roman"/>
                <w:b/>
              </w:rPr>
              <w:t>Závery a odporúčania: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/>
              <w:contextualSpacing/>
              <w:rPr>
                <w:rFonts w:ascii="Times New Roman" w:hAnsi="Times New Roman"/>
                <w:b/>
                <w:b/>
              </w:rPr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S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právnou motiváciou žiakov v cudzom jazyku je možné efektívne sa zamerať na vyučovací proces a zlepšiť tak výkony žiakov . Každá didaktická hra musí mať určitý cieľ, obsah a pravidlá. Súčasne však musí učiteľ brať do úvahy aktuálne záujmy žiakov. Hra musí byť pre žiaka zrozumiteľná, učiteľ jasne stanoví cieľ a pravidlá.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Ďalšou metódou,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ktorá je vhodná pre skupinové vyučovanie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je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metóda -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hranie rolí.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sk-SK" w:eastAsia="en-US" w:bidi="ar-SA"/>
              </w:rPr>
              <w:t>Táto metóda umožňuje demonštráciu schopností, nápadov, predstáv a pocitov v simulovaných situáciách na základe skutočnej životnej skúsenosti. Umožňuje žiakom vysporiadať sa s mnohými náročnými situáciami a spätne uvedomiť si správanie, postoje a schopnosti iných, ale aj svoje.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sk-SK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sk-SK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Cs/>
                <w:color w:val="auto"/>
                <w:kern w:val="0"/>
                <w:sz w:val="22"/>
                <w:szCs w:val="22"/>
                <w:lang w:val="sk-SK" w:eastAsia="en-US" w:bidi="ar-SA"/>
              </w:rPr>
              <w:t xml:space="preserve">Ponúkame konkrétne aktivity, ktoré sa nám osvedčili v pedagogickej praxi: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2"/>
                <w:szCs w:val="22"/>
                <w:lang w:val="sk-SK" w:eastAsia="en-US" w:bidi="ar-SA"/>
              </w:rPr>
              <w:t xml:space="preserve">(tieto aktivity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sú ďalej popísané v pracovných listoch a sú súčasťou písomného výstupu)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HORÚCE KRESLO (HOT SEAT) </w:t>
            </w:r>
          </w:p>
          <w:p>
            <w:pPr>
              <w:pStyle w:val="Default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TABU HRA</w:t>
            </w:r>
          </w:p>
          <w:p>
            <w:pPr>
              <w:pStyle w:val="Default"/>
              <w:widowControl w:val="false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AKTIVITY -</w:t>
            </w:r>
            <w:r>
              <w:rPr>
                <w:sz w:val="23"/>
                <w:szCs w:val="23"/>
              </w:rPr>
              <w:t>prameň: inšpirované spoločenskou hrou</w:t>
            </w:r>
          </w:p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VRECÚŠKOVÉ PÍSANIE</w:t>
            </w:r>
          </w:p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TELEVÍZNE DIALÓGY</w:t>
            </w:r>
          </w:p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PEXESO</w:t>
            </w:r>
          </w:p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RISKUJ</w:t>
            </w:r>
          </w:p>
          <w:p>
            <w:pPr>
              <w:pStyle w:val="Default"/>
              <w:widowControl w:val="false"/>
              <w:rPr>
                <w:rFonts w:ascii="Cambria" w:hAnsi="Cambria" w:cs="Cambri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mbria"/>
                <w:b/>
                <w:bCs/>
                <w:color w:val="000000"/>
                <w:sz w:val="24"/>
                <w:szCs w:val="24"/>
              </w:rPr>
              <w:t>MAĽOVANÉ INŠTRUKCIE</w:t>
            </w:r>
          </w:p>
          <w:p>
            <w:pPr>
              <w:pStyle w:val="Default"/>
              <w:widowControl w:val="false"/>
              <w:rPr>
                <w:rFonts w:ascii="Cambria" w:hAnsi="Cambria" w:cs="Cambri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mbria"/>
                <w:b/>
                <w:bCs/>
                <w:color w:val="000000"/>
                <w:sz w:val="24"/>
                <w:szCs w:val="24"/>
                <w:lang w:eastAsia="sk-SK"/>
              </w:rPr>
              <w:t>SKUPINA SKÚŠA SKUPINU</w:t>
            </w:r>
          </w:p>
          <w:p>
            <w:pPr>
              <w:pStyle w:val="TableParagraph"/>
              <w:widowControl w:val="false"/>
              <w:jc w:val="both"/>
              <w:rPr>
                <w:rFonts w:ascii="Cambria" w:hAnsi="Cambria" w:cs="Cambria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bCs/>
                <w:i/>
                <w:color w:val="000000"/>
                <w:sz w:val="24"/>
                <w:szCs w:val="24"/>
              </w:rPr>
              <w:t>ROTUJÚCI PREHĽAD</w:t>
            </w:r>
          </w:p>
          <w:p>
            <w:pPr>
              <w:pStyle w:val="TableParagraph"/>
              <w:widowControl w:val="false"/>
              <w:jc w:val="both"/>
              <w:rPr>
                <w:rFonts w:ascii="Cambria" w:hAnsi="Cambria" w:cs="Cambria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Cambria" w:ascii="Cambria" w:hAnsi="Cambria"/>
                <w:b/>
                <w:bCs/>
                <w:i/>
                <w:color w:val="000000"/>
                <w:sz w:val="24"/>
                <w:szCs w:val="24"/>
              </w:rPr>
              <w:t>WORDS STARTING WITH…</w:t>
            </w:r>
          </w:p>
          <w:p>
            <w:pPr>
              <w:pStyle w:val="TableParagraph"/>
              <w:widowControl w:val="false"/>
              <w:jc w:val="both"/>
              <w:rPr/>
            </w:pPr>
            <w:r>
              <w:rPr>
                <w:rFonts w:cs="Cambria" w:ascii="Cambria" w:hAnsi="Cambria"/>
                <w:b/>
                <w:bCs/>
                <w:i/>
                <w:color w:val="000000"/>
                <w:sz w:val="24"/>
                <w:szCs w:val="24"/>
              </w:rPr>
              <w:t>HOMOPHONE FUN</w:t>
            </w:r>
            <w:r>
              <w:rPr>
                <w:color w:val="212529"/>
                <w:shd w:fill="FFFFFF" w:val="clear"/>
              </w:rPr>
              <w:t> </w:t>
            </w:r>
          </w:p>
          <w:p>
            <w:pPr>
              <w:pStyle w:val="TableParagraph"/>
              <w:widowControl w:val="false"/>
              <w:jc w:val="both"/>
              <w:rPr>
                <w:rFonts w:ascii="Cambria" w:hAnsi="Cambria" w:eastAsia="Times New Roman" w:cs="Cambria"/>
                <w:b/>
                <w:b/>
                <w:bCs/>
                <w:i/>
                <w:i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Cambria" w:ascii="Cambria" w:hAnsi="Cambria"/>
                <w:b/>
                <w:bCs/>
                <w:i/>
                <w:color w:val="000000"/>
                <w:kern w:val="0"/>
                <w:sz w:val="24"/>
                <w:szCs w:val="24"/>
                <w:shd w:fill="FFFFFF" w:val="clear"/>
                <w:lang w:val="en-US" w:eastAsia="en-US" w:bidi="ar-SA"/>
              </w:rPr>
              <w:t>WORD CHAINS</w:t>
            </w:r>
          </w:p>
          <w:p>
            <w:pPr>
              <w:pStyle w:val="TableParagraph"/>
              <w:widowControl w:val="false"/>
              <w:jc w:val="both"/>
              <w:rPr>
                <w:rFonts w:ascii="Cambria" w:hAnsi="Cambria" w:eastAsia="Times New Roman" w:cs="Cambria"/>
                <w:b/>
                <w:b/>
                <w:bCs/>
                <w:i/>
                <w:i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Cambria" w:ascii="Cambria" w:hAnsi="Cambria"/>
                <w:b/>
                <w:bCs/>
                <w:i/>
                <w:color w:val="000000"/>
                <w:kern w:val="0"/>
                <w:sz w:val="24"/>
                <w:szCs w:val="24"/>
                <w:shd w:fill="FFFFFF" w:val="clear"/>
                <w:lang w:val="en-US" w:eastAsia="en-US" w:bidi="ar-SA"/>
              </w:rPr>
              <w:t>WORD ASSOCIATION</w:t>
            </w:r>
          </w:p>
          <w:p>
            <w:pPr>
              <w:pStyle w:val="TableParagraph"/>
              <w:widowControl w:val="false"/>
              <w:jc w:val="both"/>
              <w:rPr>
                <w:rFonts w:ascii="Cambria" w:hAnsi="Cambria" w:eastAsia="Times New Roman" w:cs="Cambria"/>
                <w:b/>
                <w:b/>
                <w:bCs/>
                <w:i/>
                <w:i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Cambria" w:ascii="Cambria" w:hAnsi="Cambria"/>
                <w:b/>
                <w:bCs/>
                <w:i/>
                <w:color w:val="000000"/>
                <w:kern w:val="0"/>
                <w:sz w:val="24"/>
                <w:szCs w:val="24"/>
                <w:shd w:fill="FFFFFF" w:val="clear"/>
                <w:lang w:val="en-US" w:eastAsia="en-US" w:bidi="ar-SA"/>
              </w:rPr>
              <w:t>SCRAMBLED LETTERS</w:t>
            </w:r>
          </w:p>
          <w:p>
            <w:pPr>
              <w:pStyle w:val="TableParagraph"/>
              <w:widowControl w:val="false"/>
              <w:jc w:val="both"/>
              <w:rPr>
                <w:rFonts w:ascii="Cambria" w:hAnsi="Cambria" w:eastAsia="Times New Roman" w:cs="Cambria"/>
                <w:b/>
                <w:b/>
                <w:bCs/>
                <w:i/>
                <w:i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Cambria" w:ascii="Cambria" w:hAnsi="Cambria"/>
                <w:b/>
                <w:bCs/>
                <w:i/>
                <w:color w:val="000000"/>
                <w:kern w:val="0"/>
                <w:sz w:val="24"/>
                <w:szCs w:val="24"/>
                <w:shd w:fill="FFFFFF" w:val="clear"/>
                <w:lang w:val="en-US" w:eastAsia="en-US" w:bidi="ar-SA"/>
              </w:rPr>
              <w:t>THE LONGEST WORD</w:t>
            </w:r>
          </w:p>
          <w:p>
            <w:pPr>
              <w:pStyle w:val="TableParagraph"/>
              <w:widowControl w:val="false"/>
              <w:jc w:val="both"/>
              <w:rPr>
                <w:rFonts w:ascii="Cambria" w:hAnsi="Cambria" w:eastAsia="Times New Roman" w:cs="Cambria"/>
                <w:b/>
                <w:b/>
                <w:bCs/>
                <w:i/>
                <w:i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Cambria" w:ascii="Cambria" w:hAnsi="Cambria"/>
                <w:b/>
                <w:bCs/>
                <w:i/>
                <w:color w:val="000000"/>
                <w:kern w:val="0"/>
                <w:sz w:val="24"/>
                <w:szCs w:val="24"/>
                <w:shd w:fill="FFFFFF" w:val="clear"/>
                <w:lang w:val="en-US" w:eastAsia="en-US" w:bidi="ar-SA"/>
              </w:rPr>
              <w:t>COFFEE POT GAME</w:t>
            </w:r>
          </w:p>
          <w:p>
            <w:pPr>
              <w:pStyle w:val="TableParagraph"/>
              <w:widowControl w:val="false"/>
              <w:jc w:val="both"/>
              <w:rPr>
                <w:rFonts w:ascii="Cambria" w:hAnsi="Cambria" w:eastAsia="Times New Roman" w:cs="Cambria"/>
                <w:b/>
                <w:b/>
                <w:bCs/>
                <w:i/>
                <w:i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Cambria" w:ascii="Cambria" w:hAnsi="Cambria"/>
                <w:b/>
                <w:bCs/>
                <w:i/>
                <w:color w:val="000000"/>
                <w:kern w:val="0"/>
                <w:sz w:val="24"/>
                <w:szCs w:val="24"/>
                <w:shd w:fill="FFFFFF" w:val="clear"/>
                <w:lang w:val="en-US" w:eastAsia="en-US" w:bidi="ar-SA"/>
              </w:rPr>
              <w:t xml:space="preserve">RUN FOR IT 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17"/>
        <w:gridCol w:w="5044"/>
      </w:tblGrid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Bobulská</w:t>
            </w:r>
          </w:p>
        </w:tc>
      </w:tr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27.  06. 2022</w:t>
            </w:r>
          </w:p>
        </w:tc>
      </w:tr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28. 06. 2022</w:t>
            </w:r>
          </w:p>
        </w:tc>
      </w:tr>
      <w:tr>
        <w:trPr/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w:br w:type="page"/>
      </w:r>
    </w:p>
    <w:p>
      <w:pPr>
        <w:pStyle w:val="Normal"/>
        <w:tabs>
          <w:tab w:val="clear" w:pos="708"/>
          <w:tab w:val="left" w:pos="1114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>
      <w:pPr>
        <w:pStyle w:val="Normal"/>
        <w:tabs>
          <w:tab w:val="clear" w:pos="708"/>
          <w:tab w:val="left" w:pos="1114" w:leader="none"/>
        </w:tabs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správy o činnosti klubu anglického jazyka             </w:t>
      </w:r>
      <w:r>
        <w:rPr/>
        <w:drawing>
          <wp:inline distT="0" distB="0" distL="0" distR="0">
            <wp:extent cx="5760720" cy="808990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dpis1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k-SK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k-SK"/>
        </w:rPr>
        <w:t>PREZENČNÁ LISTINA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27. 06. 2022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4"/>
        <w:gridCol w:w="3934"/>
        <w:gridCol w:w="2430"/>
        <w:gridCol w:w="2303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SŠ, org. zložka OA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Bobulská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SŠ, org. zložka OA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Barlíková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SŠ, org. zložka OA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10"/>
        <w:gridCol w:w="4679"/>
        <w:gridCol w:w="1728"/>
        <w:gridCol w:w="1983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eastAsia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ea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a67ea9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kern w:val="2"/>
      <w:sz w:val="32"/>
      <w:szCs w:val="32"/>
      <w:lang w:val="cs-CZ"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9"/>
    <w:qFormat/>
    <w:rsid w:val="00a67ea9"/>
    <w:rPr>
      <w:rFonts w:ascii="Arial" w:hAnsi="Arial" w:eastAsia="Times New Roman" w:cs="Arial"/>
      <w:kern w:val="2"/>
      <w:sz w:val="32"/>
      <w:szCs w:val="32"/>
      <w:lang w:val="cs-CZ" w:eastAsia="cs-CZ"/>
    </w:rPr>
  </w:style>
  <w:style w:type="character" w:styleId="Internetovodkaz">
    <w:name w:val="Internetový odkaz"/>
    <w:basedOn w:val="DefaultParagraphFont"/>
    <w:uiPriority w:val="99"/>
    <w:unhideWhenUsed/>
    <w:rsid w:val="00a67ea9"/>
    <w:rPr>
      <w:color w:val="0563C1" w:themeColor="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Paragraph" w:customStyle="1">
    <w:name w:val="Table Paragraph"/>
    <w:basedOn w:val="Normal"/>
    <w:uiPriority w:val="1"/>
    <w:qFormat/>
    <w:rsid w:val="00a67ea9"/>
    <w:pPr>
      <w:widowControl w:val="false"/>
      <w:spacing w:lineRule="auto" w:line="240" w:before="0" w:after="0"/>
    </w:pPr>
    <w:rPr>
      <w:rFonts w:ascii="Times New Roman" w:hAnsi="Times New Roman" w:eastAsia="Times New Roman"/>
      <w:lang w:val="en-US"/>
    </w:rPr>
  </w:style>
  <w:style w:type="paragraph" w:styleId="ListParagraph">
    <w:name w:val="List Paragraph"/>
    <w:basedOn w:val="Normal"/>
    <w:uiPriority w:val="99"/>
    <w:qFormat/>
    <w:rsid w:val="00a67ea9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46963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oasl.edupage.org/a/gramotnostou-k-trhu-prace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Application>LibreOffice/7.3.3.2$Windows_X86_64 LibreOffice_project/d1d0ea68f081ee2800a922cac8f79445e4603348</Application>
  <AppVersion>15.0000</AppVersion>
  <Pages>5</Pages>
  <Words>763</Words>
  <Characters>4645</Characters>
  <CharactersWithSpaces>5325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2022-06-10T09:42:00Z</dcterms:created>
  <dc:creator>Student</dc:creator>
  <dc:description/>
  <dc:language>sk-SK</dc:language>
  <cp:lastModifiedBy/>
  <dcterms:modified xsi:type="dcterms:W3CDTF">2022-06-28T10:06:23Z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