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bookmarkStart w:id="0" w:name="_GoBack"/>
      <w:bookmarkEnd w:id="0"/>
    </w:p>
    <w:p w:rsidR="0066697C" w:rsidRDefault="0066697C"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CA5312">
        <w:rPr>
          <w:rFonts w:ascii="Times New Roman" w:eastAsia="Comic Sans MS" w:hAnsi="Times New Roman" w:cs="Times New Roman"/>
          <w:color w:val="1F4E79" w:themeColor="accent1" w:themeShade="80"/>
          <w:sz w:val="24"/>
          <w:szCs w:val="24"/>
          <w:lang w:eastAsia="pl-PL"/>
        </w:rPr>
        <w:t>REGULAMIN</w:t>
      </w:r>
      <w:r w:rsidR="00CA5312" w:rsidRPr="00CA5312">
        <w:rPr>
          <w:rFonts w:ascii="Times New Roman" w:eastAsia="Comic Sans MS" w:hAnsi="Times New Roman" w:cs="Times New Roman"/>
          <w:color w:val="1F4E79" w:themeColor="accent1" w:themeShade="80"/>
          <w:sz w:val="24"/>
          <w:szCs w:val="24"/>
          <w:lang w:eastAsia="pl-PL"/>
        </w:rPr>
        <w:t xml:space="preserve"> </w:t>
      </w:r>
    </w:p>
    <w:p w:rsidR="00585B84" w:rsidRDefault="00CA5312"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CA5312">
        <w:rPr>
          <w:rFonts w:ascii="Times New Roman" w:eastAsia="Comic Sans MS" w:hAnsi="Times New Roman" w:cs="Times New Roman"/>
          <w:color w:val="1F4E79" w:themeColor="accent1" w:themeShade="80"/>
          <w:sz w:val="24"/>
          <w:szCs w:val="24"/>
          <w:lang w:eastAsia="pl-PL"/>
        </w:rPr>
        <w:t>rekrutacji dzieci do  Przedszkola nr 1</w:t>
      </w:r>
      <w:r>
        <w:rPr>
          <w:rFonts w:ascii="Times New Roman" w:eastAsia="Comic Sans MS" w:hAnsi="Times New Roman" w:cs="Times New Roman"/>
          <w:color w:val="1F4E79" w:themeColor="accent1" w:themeShade="80"/>
          <w:sz w:val="24"/>
          <w:szCs w:val="24"/>
          <w:lang w:eastAsia="pl-PL"/>
        </w:rPr>
        <w:t>2</w:t>
      </w:r>
      <w:r w:rsidRPr="00CA5312">
        <w:rPr>
          <w:rFonts w:ascii="Times New Roman" w:eastAsia="Comic Sans MS" w:hAnsi="Times New Roman" w:cs="Times New Roman"/>
          <w:color w:val="1F4E79" w:themeColor="accent1" w:themeShade="80"/>
          <w:sz w:val="24"/>
          <w:szCs w:val="24"/>
          <w:lang w:eastAsia="pl-PL"/>
        </w:rPr>
        <w:t xml:space="preserve"> w Żywcu</w:t>
      </w:r>
    </w:p>
    <w:p w:rsidR="00CA5312" w:rsidRPr="00CA5312" w:rsidRDefault="00CA5312"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r w:rsidRPr="00CA5312">
        <w:rPr>
          <w:rFonts w:ascii="Times New Roman" w:eastAsia="Comic Sans MS" w:hAnsi="Times New Roman" w:cs="Times New Roman"/>
          <w:color w:val="1F4E79" w:themeColor="accent1" w:themeShade="80"/>
          <w:sz w:val="24"/>
          <w:szCs w:val="24"/>
          <w:lang w:eastAsia="pl-PL"/>
        </w:rPr>
        <w:t>na rok szkolny 2018/2019</w:t>
      </w:r>
    </w:p>
    <w:p w:rsidR="00CA5312" w:rsidRPr="00CA5312" w:rsidRDefault="00CA5312" w:rsidP="00CA5312">
      <w:pPr>
        <w:spacing w:after="16" w:line="360" w:lineRule="auto"/>
        <w:ind w:left="67"/>
        <w:jc w:val="both"/>
        <w:rPr>
          <w:rFonts w:ascii="Times New Roman" w:eastAsia="Comic Sans MS" w:hAnsi="Times New Roman" w:cs="Times New Roman"/>
          <w:color w:val="1F4E79" w:themeColor="accent1" w:themeShade="80"/>
          <w:sz w:val="24"/>
          <w:szCs w:val="24"/>
          <w:lang w:eastAsia="pl-PL"/>
        </w:rPr>
      </w:pPr>
    </w:p>
    <w:p w:rsidR="00CA5312" w:rsidRPr="00CA5312" w:rsidRDefault="00CA5312" w:rsidP="00CA5312">
      <w:pPr>
        <w:spacing w:after="60" w:line="360" w:lineRule="auto"/>
        <w:ind w:left="67"/>
        <w:jc w:val="both"/>
        <w:rPr>
          <w:rFonts w:ascii="Times New Roman" w:eastAsia="Comic Sans MS" w:hAnsi="Times New Roman" w:cs="Times New Roman"/>
          <w:color w:val="000000"/>
          <w:sz w:val="24"/>
          <w:szCs w:val="24"/>
          <w:lang w:eastAsia="pl-PL"/>
        </w:rPr>
      </w:pPr>
    </w:p>
    <w:p w:rsidR="00CA5312" w:rsidRPr="0066697C" w:rsidRDefault="00CA5312" w:rsidP="00CA5312">
      <w:pPr>
        <w:spacing w:after="34" w:line="360" w:lineRule="auto"/>
        <w:ind w:left="52" w:right="4325"/>
        <w:jc w:val="both"/>
        <w:rPr>
          <w:rFonts w:ascii="Times New Roman" w:eastAsia="Comic Sans MS" w:hAnsi="Times New Roman" w:cs="Times New Roman"/>
          <w:color w:val="000000"/>
          <w:lang w:eastAsia="pl-PL"/>
        </w:rPr>
      </w:pPr>
      <w:r w:rsidRPr="0066697C">
        <w:rPr>
          <w:rFonts w:ascii="Times New Roman" w:eastAsia="Comic Sans MS" w:hAnsi="Times New Roman" w:cs="Times New Roman"/>
          <w:b/>
          <w:color w:val="000000"/>
          <w:lang w:eastAsia="pl-PL"/>
        </w:rPr>
        <w:t xml:space="preserve">PODSTAWA PRAWNA </w:t>
      </w:r>
    </w:p>
    <w:p w:rsidR="00CA5312" w:rsidRPr="00CA5312" w:rsidRDefault="00CA5312" w:rsidP="00CA5312">
      <w:pPr>
        <w:spacing w:after="28"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1"/>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r. Prawo oświatowe </w:t>
      </w:r>
      <w:r w:rsidRPr="00CA5312">
        <w:rPr>
          <w:rFonts w:ascii="Times New Roman" w:eastAsia="Comic Sans MS" w:hAnsi="Times New Roman" w:cs="Times New Roman"/>
          <w:color w:val="000000"/>
          <w:sz w:val="24"/>
          <w:szCs w:val="24"/>
          <w:lang w:eastAsia="pl-PL"/>
        </w:rPr>
        <w:t xml:space="preserve">(Dz.U. z 2017 r. poz. 59 ze zm.), </w:t>
      </w:r>
    </w:p>
    <w:p w:rsidR="00CA5312" w:rsidRPr="00CA5312" w:rsidRDefault="00CA5312" w:rsidP="00CA5312">
      <w:pPr>
        <w:numPr>
          <w:ilvl w:val="0"/>
          <w:numId w:val="1"/>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r. Przepisy wprowadzające ustawę Prawo oświatowe </w:t>
      </w:r>
      <w:r>
        <w:rPr>
          <w:rFonts w:ascii="Times New Roman" w:eastAsia="Comic Sans MS" w:hAnsi="Times New Roman" w:cs="Times New Roman"/>
          <w:i/>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(Dz. U. z 2017 r. poz. 60 ze zm.), </w:t>
      </w:r>
    </w:p>
    <w:p w:rsidR="00CA5312" w:rsidRPr="00CA5312" w:rsidRDefault="00CA5312" w:rsidP="00CA5312">
      <w:pPr>
        <w:numPr>
          <w:ilvl w:val="0"/>
          <w:numId w:val="1"/>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Rozporządzenie Ministra Edukacji Narodowej z dnia 16 marca 2017 r. w sprawie przeprowadzania postępowania rekrutacyjnego oraz postępowania uzupełniającego </w:t>
      </w:r>
      <w:r>
        <w:rPr>
          <w:rFonts w:ascii="Times New Roman" w:eastAsia="Comic Sans MS" w:hAnsi="Times New Roman" w:cs="Times New Roman"/>
          <w:i/>
          <w:color w:val="000000"/>
          <w:sz w:val="24"/>
          <w:szCs w:val="24"/>
          <w:lang w:eastAsia="pl-PL"/>
        </w:rPr>
        <w:br/>
      </w:r>
      <w:r w:rsidRPr="00CA5312">
        <w:rPr>
          <w:rFonts w:ascii="Times New Roman" w:eastAsia="Comic Sans MS" w:hAnsi="Times New Roman" w:cs="Times New Roman"/>
          <w:i/>
          <w:color w:val="000000"/>
          <w:sz w:val="24"/>
          <w:szCs w:val="24"/>
          <w:lang w:eastAsia="pl-PL"/>
        </w:rPr>
        <w:t>do publicznych przedszkoli, szkół i placówek</w:t>
      </w:r>
      <w:r w:rsidRPr="00CA5312">
        <w:rPr>
          <w:rFonts w:ascii="Times New Roman" w:eastAsia="Comic Sans MS" w:hAnsi="Times New Roman" w:cs="Times New Roman"/>
          <w:color w:val="000000"/>
          <w:sz w:val="24"/>
          <w:szCs w:val="24"/>
          <w:lang w:eastAsia="pl-PL"/>
        </w:rPr>
        <w:t xml:space="preserve"> (Dz. U. z 2017 r. </w:t>
      </w:r>
    </w:p>
    <w:p w:rsidR="00CA5312" w:rsidRPr="00CA5312" w:rsidRDefault="00CA5312" w:rsidP="00CA5312">
      <w:pPr>
        <w:spacing w:after="14" w:line="360" w:lineRule="auto"/>
        <w:ind w:left="78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poz. 610)</w:t>
      </w:r>
      <w:r w:rsidRPr="00CA5312">
        <w:rPr>
          <w:rFonts w:ascii="Times New Roman" w:eastAsia="Comic Sans MS" w:hAnsi="Times New Roman" w:cs="Times New Roman"/>
          <w:i/>
          <w:color w:val="000000"/>
          <w:sz w:val="24"/>
          <w:szCs w:val="24"/>
          <w:lang w:eastAsia="pl-PL"/>
        </w:rPr>
        <w:t>.</w:t>
      </w:r>
    </w:p>
    <w:p w:rsidR="00CA5312" w:rsidRPr="00CA5312" w:rsidRDefault="00CA5312" w:rsidP="00CA5312">
      <w:pPr>
        <w:spacing w:after="44"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Pr="00CA5312" w:rsidRDefault="00CA5312" w:rsidP="00CA5312">
      <w:pPr>
        <w:spacing w:after="22"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2018/2019 określa: </w:t>
      </w:r>
    </w:p>
    <w:p w:rsidR="00CA5312" w:rsidRPr="00CA5312" w:rsidRDefault="00CA5312" w:rsidP="00CA5312">
      <w:pPr>
        <w:spacing w:after="44"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2"/>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 xml:space="preserve">Ustawa z dnia 14 grudnia 2016 r. Prawo oświatowe; </w:t>
      </w:r>
    </w:p>
    <w:p w:rsidR="00CA5312" w:rsidRPr="00CA5312" w:rsidRDefault="00CA5312" w:rsidP="00CA5312">
      <w:pPr>
        <w:numPr>
          <w:ilvl w:val="0"/>
          <w:numId w:val="2"/>
        </w:numPr>
        <w:spacing w:after="3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Ustawa z dnia 14 grudnia 2016 r. Przepisy wprowadzające ustawę Prawo oświatowe;</w:t>
      </w:r>
    </w:p>
    <w:p w:rsidR="00CA5312" w:rsidRPr="00CA5312" w:rsidRDefault="00CA5312" w:rsidP="00CA5312">
      <w:pPr>
        <w:numPr>
          <w:ilvl w:val="0"/>
          <w:numId w:val="2"/>
        </w:numPr>
        <w:spacing w:after="2"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Rozporządzenie Ministra Edukacji Narodowej w sprawie przeprowadzania postępowania rekrutacyjnego oraz postępowania uzupełniającego do publicznych przedszkoli, szkół i placówek</w:t>
      </w:r>
      <w:r w:rsidRPr="00CA5312">
        <w:rPr>
          <w:rFonts w:ascii="Times New Roman" w:eastAsia="Comic Sans MS" w:hAnsi="Times New Roman" w:cs="Times New Roman"/>
          <w:color w:val="000000"/>
          <w:sz w:val="24"/>
          <w:szCs w:val="24"/>
          <w:lang w:eastAsia="pl-PL"/>
        </w:rPr>
        <w:t xml:space="preserve"> ; </w:t>
      </w:r>
    </w:p>
    <w:p w:rsidR="00CA5312" w:rsidRPr="00CA5312" w:rsidRDefault="00CA5312" w:rsidP="00CA5312">
      <w:pPr>
        <w:numPr>
          <w:ilvl w:val="0"/>
          <w:numId w:val="2"/>
        </w:numPr>
        <w:spacing w:after="55"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Uchwała nr XXV/259/2017 RadyMiejskiej w Żywcuz dnia 30 marca 2017 r.;</w:t>
      </w:r>
    </w:p>
    <w:p w:rsidR="00CA5312" w:rsidRPr="00CA5312" w:rsidRDefault="00CA5312" w:rsidP="00CA5312">
      <w:pPr>
        <w:numPr>
          <w:ilvl w:val="0"/>
          <w:numId w:val="2"/>
        </w:numPr>
        <w:spacing w:after="0"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i/>
          <w:color w:val="000000"/>
          <w:sz w:val="24"/>
          <w:szCs w:val="24"/>
          <w:lang w:eastAsia="pl-PL"/>
        </w:rPr>
        <w:t>Zarządzenie nr BOB.0050.9.2018.MZSiP  Burmistrza Miasta Żywca z dnia  29 stycznia 2018 r.</w:t>
      </w:r>
    </w:p>
    <w:p w:rsidR="00912A42" w:rsidRDefault="00912A42" w:rsidP="00CA5312">
      <w:pPr>
        <w:spacing w:after="0" w:line="360" w:lineRule="auto"/>
        <w:ind w:left="504"/>
        <w:jc w:val="both"/>
        <w:rPr>
          <w:rFonts w:ascii="Times New Roman" w:eastAsia="Comic Sans MS" w:hAnsi="Times New Roman" w:cs="Times New Roman"/>
          <w:color w:val="000000"/>
          <w:sz w:val="24"/>
          <w:szCs w:val="24"/>
          <w:lang w:eastAsia="pl-PL"/>
        </w:rPr>
      </w:pP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CA5312" w:rsidRDefault="00CA5312" w:rsidP="00CA5312">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spacing w:after="47"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Do przedszkola przyjmowane są dzieci w wieku od 3 –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integracyjnegomogą ubiegać się dzieci posiadające orzeczenie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potrzebie kształcenia specjalnego.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 § 3</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85B84">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85B84">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1)</w:t>
      </w:r>
      <w:r w:rsidR="00585B84">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85B84">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2)</w:t>
      </w:r>
      <w:r w:rsidR="00585B84">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spacing w:after="47"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8">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9"/>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Do wniosku dołącza się dokumenty/oświadczenia określone w art. 150 ust. 2 pkt. 1 i 2 ustawy z dnia 14 grudnia 2016 r. Prawo oświatowe (Dz. U. z 2017 r.  poz. </w:t>
      </w:r>
      <w:r w:rsidRPr="00585B84">
        <w:rPr>
          <w:rFonts w:ascii="Times New Roman" w:eastAsia="Comic Sans MS" w:hAnsi="Times New Roman" w:cs="Times New Roman"/>
          <w:color w:val="000000"/>
          <w:sz w:val="24"/>
          <w:szCs w:val="24"/>
          <w:lang w:eastAsia="pl-PL"/>
        </w:rPr>
        <w:t xml:space="preserve">59):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w art. 131 ust. 2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CA5312">
        <w:rPr>
          <w:rFonts w:ascii="Times New Roman" w:eastAsia="Comic Sans MS" w:hAnsi="Times New Roman" w:cs="Times New Roman"/>
          <w:b/>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912A42">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 </w:t>
      </w:r>
      <w:r w:rsidRPr="00CA5312">
        <w:rPr>
          <w:rFonts w:ascii="Times New Roman" w:eastAsia="Comic Sans MS" w:hAnsi="Times New Roman" w:cs="Times New Roman"/>
          <w:b/>
          <w:color w:val="000000"/>
          <w:sz w:val="24"/>
          <w:szCs w:val="24"/>
          <w:lang w:eastAsia="pl-PL"/>
        </w:rPr>
        <w:t>załącznik nr 2</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objęciu rodziny nadzorem kuratorskim lub wsparciem       asystenta </w:t>
      </w:r>
      <w:r w:rsidRPr="00CA5312">
        <w:rPr>
          <w:rFonts w:ascii="Times New Roman" w:eastAsia="Comic Sans MS" w:hAnsi="Times New Roman" w:cs="Times New Roman"/>
          <w:b/>
          <w:color w:val="000000"/>
          <w:sz w:val="24"/>
          <w:szCs w:val="24"/>
          <w:lang w:eastAsia="pl-PL"/>
        </w:rPr>
        <w:t>– załącznik nr 5</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CA5312">
        <w:rPr>
          <w:rFonts w:ascii="Times New Roman" w:eastAsia="Comic Sans MS" w:hAnsi="Times New Roman" w:cs="Times New Roman"/>
          <w:b/>
          <w:color w:val="000000"/>
          <w:sz w:val="24"/>
          <w:szCs w:val="24"/>
          <w:lang w:eastAsia="pl-PL"/>
        </w:rPr>
        <w:t>- 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 </w:t>
      </w:r>
      <w:r w:rsidRPr="00585B84">
        <w:rPr>
          <w:rFonts w:ascii="Times New Roman" w:eastAsia="Comic Sans MS" w:hAnsi="Times New Roman" w:cs="Times New Roman"/>
          <w:b/>
          <w:color w:val="000000"/>
          <w:sz w:val="24"/>
          <w:szCs w:val="24"/>
          <w:lang w:eastAsia="pl-PL"/>
        </w:rPr>
        <w:t>załącznik nr 7</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zatrudnieniu/ nauce – </w:t>
      </w:r>
      <w:r w:rsidRPr="00CA5312">
        <w:rPr>
          <w:rFonts w:ascii="Times New Roman" w:eastAsia="Comic Sans MS" w:hAnsi="Times New Roman" w:cs="Times New Roman"/>
          <w:b/>
          <w:color w:val="000000"/>
          <w:sz w:val="24"/>
          <w:szCs w:val="24"/>
          <w:lang w:eastAsia="pl-PL"/>
        </w:rPr>
        <w:t>załącznik nr 8</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b/>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585B84">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CA5312" w:rsidRPr="00CA5312">
        <w:rPr>
          <w:rFonts w:ascii="Times New Roman" w:eastAsia="Comic Sans MS" w:hAnsi="Times New Roman" w:cs="Times New Roman"/>
          <w:color w:val="000000"/>
          <w:sz w:val="24"/>
          <w:szCs w:val="24"/>
          <w:lang w:eastAsia="pl-PL"/>
        </w:rPr>
        <w:t xml:space="preserve"> </w:t>
      </w:r>
      <w:r w:rsidR="00CA5312" w:rsidRPr="00CA5312">
        <w:rPr>
          <w:rFonts w:ascii="Times New Roman" w:eastAsia="Comic Sans MS" w:hAnsi="Times New Roman" w:cs="Times New Roman"/>
          <w:b/>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CA5312" w:rsidRDefault="00CA5312" w:rsidP="00585B84">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spacing w:after="47" w:line="360" w:lineRule="auto"/>
        <w:ind w:left="168"/>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CA5312" w:rsidRPr="00CA5312" w:rsidRDefault="00CA5312" w:rsidP="00CA5312">
      <w:pPr>
        <w:spacing w:after="0" w:line="360" w:lineRule="auto"/>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u w:val="single" w:color="000000"/>
          <w:lang w:eastAsia="pl-PL"/>
        </w:rPr>
        <w:t>Powyższe kryteria mają jednakową wartość.</w:t>
      </w:r>
    </w:p>
    <w:p w:rsidR="00CA5312" w:rsidRPr="00CA5312" w:rsidRDefault="00CA5312" w:rsidP="00CA5312">
      <w:pPr>
        <w:spacing w:after="0" w:line="360" w:lineRule="auto"/>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CA5312"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Rodzice/prawni opiekunowie dzieci zamieszkałych poza terenem Żywca mogą ubiegać się o przyjęcie dziecka do przedszkola dopiero w postępowaniu uzupełniającym, które będzie przeprowadzone po zakończeniu postępowania rekrutacyjnego, jeżeli przedszkole będzie dysponowało wolnymi miejscami.</w:t>
      </w:r>
    </w:p>
    <w:p w:rsidR="00585B84" w:rsidRPr="00585B84"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CA5312"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w:t>
      </w:r>
    </w:p>
    <w:p w:rsidR="00585B84" w:rsidRPr="00CA5312" w:rsidRDefault="00585B84" w:rsidP="00CA5312">
      <w:pPr>
        <w:spacing w:after="34" w:line="360" w:lineRule="auto"/>
        <w:ind w:left="360" w:right="4325" w:firstLine="4330"/>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 </w:t>
      </w:r>
      <w:r w:rsidRPr="00CA5312">
        <w:rPr>
          <w:rFonts w:ascii="Times New Roman" w:eastAsia="Comic Sans MS" w:hAnsi="Times New Roman" w:cs="Times New Roman"/>
          <w:b/>
          <w:color w:val="000000"/>
          <w:sz w:val="24"/>
          <w:szCs w:val="24"/>
          <w:lang w:eastAsia="pl-PL"/>
        </w:rPr>
        <w:t>załącznik nr 9</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585B84" w:rsidRPr="00CA5312" w:rsidRDefault="00585B84"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 </w:t>
      </w:r>
      <w:r w:rsidRPr="00585B84">
        <w:rPr>
          <w:rFonts w:ascii="Times New Roman" w:eastAsia="Comic Sans MS" w:hAnsi="Times New Roman" w:cs="Times New Roman"/>
          <w:b/>
          <w:color w:val="000000"/>
          <w:sz w:val="24"/>
          <w:szCs w:val="24"/>
          <w:lang w:eastAsia="pl-PL"/>
        </w:rPr>
        <w:t>załącznik nr 10</w:t>
      </w:r>
      <w:r w:rsidRPr="00585B84">
        <w:rPr>
          <w:rFonts w:ascii="Times New Roman" w:eastAsia="Comic Sans MS" w:hAnsi="Times New Roman" w:cs="Times New Roman"/>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10"/>
      <w:footerReference w:type="default" r:id="rId11"/>
      <w:pgSz w:w="11906" w:h="16838"/>
      <w:pgMar w:top="1488" w:right="1130" w:bottom="1423" w:left="134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87" w:rsidRDefault="00265187" w:rsidP="00585B84">
      <w:pPr>
        <w:spacing w:after="0" w:line="240" w:lineRule="auto"/>
      </w:pPr>
      <w:r>
        <w:separator/>
      </w:r>
    </w:p>
  </w:endnote>
  <w:endnote w:type="continuationSeparator" w:id="0">
    <w:p w:rsidR="00265187" w:rsidRDefault="00265187" w:rsidP="005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Pr="00585B84" w:rsidRDefault="00585B84" w:rsidP="00585B84">
    <w:pPr>
      <w:tabs>
        <w:tab w:val="center" w:pos="4536"/>
        <w:tab w:val="right" w:pos="9072"/>
      </w:tabs>
      <w:spacing w:after="0" w:line="240" w:lineRule="auto"/>
      <w:jc w:val="center"/>
      <w:rPr>
        <w:rFonts w:ascii="Calibri" w:eastAsia="Times New Roman" w:hAnsi="Calibri" w:cs="Times New Roman"/>
        <w:sz w:val="20"/>
        <w:szCs w:val="20"/>
      </w:rPr>
    </w:pPr>
    <w:r w:rsidRPr="00585B84">
      <w:rPr>
        <w:rFonts w:ascii="Cambria" w:eastAsia="Times New Roman" w:hAnsi="Cambria" w:cs="Times New Roman"/>
        <w:color w:val="365F91"/>
        <w:sz w:val="20"/>
        <w:szCs w:val="20"/>
      </w:rPr>
      <w:t xml:space="preserve">zsp1zywiec.edupage.org                                   </w:t>
    </w:r>
    <w:r w:rsidRPr="00585B84">
      <w:rPr>
        <w:rFonts w:ascii="Cambria" w:eastAsia="Times New Roman" w:hAnsi="Cambria" w:cs="Times New Roman"/>
        <w:color w:val="365F91"/>
        <w:sz w:val="20"/>
        <w:szCs w:val="20"/>
      </w:rPr>
      <w:t>zsp1zywiec@wp.pl                               tel. 33/ 865-21-97</w:t>
    </w:r>
  </w:p>
  <w:p w:rsidR="00585B84" w:rsidRDefault="0058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87" w:rsidRDefault="00265187" w:rsidP="00585B84">
      <w:pPr>
        <w:spacing w:after="0" w:line="240" w:lineRule="auto"/>
      </w:pPr>
      <w:r>
        <w:separator/>
      </w:r>
    </w:p>
  </w:footnote>
  <w:footnote w:type="continuationSeparator" w:id="0">
    <w:p w:rsidR="00265187" w:rsidRDefault="00265187" w:rsidP="0058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84" w:rsidRPr="00585B84" w:rsidRDefault="00912A42" w:rsidP="00585B84">
    <w:pPr>
      <w:tabs>
        <w:tab w:val="center" w:pos="4536"/>
        <w:tab w:val="right" w:pos="9072"/>
      </w:tabs>
      <w:spacing w:after="0" w:line="276" w:lineRule="auto"/>
      <w:jc w:val="center"/>
      <w:rPr>
        <w:rFonts w:ascii="Times New Roman" w:eastAsia="Times New Roman" w:hAnsi="Times New Roman" w:cs="Times New Roman"/>
        <w:i/>
        <w:color w:val="365F91"/>
        <w:sz w:val="20"/>
        <w:szCs w:val="20"/>
      </w:rPr>
    </w:pPr>
    <w:r>
      <w:rPr>
        <w:rFonts w:ascii="Times New Roman" w:eastAsia="Times New Roman" w:hAnsi="Times New Roman" w:cs="Times New Roman"/>
        <w:i/>
        <w:color w:val="365F91"/>
        <w:sz w:val="20"/>
        <w:szCs w:val="20"/>
      </w:rPr>
      <w:br/>
      <w:t xml:space="preserve"> Zespół</w:t>
    </w:r>
    <w:r w:rsidR="00585B84" w:rsidRPr="00585B84">
      <w:rPr>
        <w:rFonts w:ascii="Times New Roman" w:eastAsia="Times New Roman" w:hAnsi="Times New Roman" w:cs="Times New Roman"/>
        <w:i/>
        <w:color w:val="365F91"/>
        <w:sz w:val="20"/>
        <w:szCs w:val="20"/>
      </w:rPr>
      <w:t xml:space="preserve"> Szkolno-Przedszkoln</w:t>
    </w:r>
    <w:r>
      <w:rPr>
        <w:rFonts w:ascii="Times New Roman" w:eastAsia="Times New Roman" w:hAnsi="Times New Roman" w:cs="Times New Roman"/>
        <w:i/>
        <w:color w:val="365F91"/>
        <w:sz w:val="20"/>
        <w:szCs w:val="20"/>
      </w:rPr>
      <w:t>y</w:t>
    </w:r>
    <w:r w:rsidR="00585B84" w:rsidRPr="00585B84">
      <w:rPr>
        <w:rFonts w:ascii="Times New Roman" w:eastAsia="Times New Roman" w:hAnsi="Times New Roman" w:cs="Times New Roman"/>
        <w:i/>
        <w:color w:val="365F91"/>
        <w:sz w:val="20"/>
        <w:szCs w:val="20"/>
      </w:rPr>
      <w:t xml:space="preserve"> nr 1 w Żywcu  </w:t>
    </w:r>
    <w:r w:rsidR="00585B84" w:rsidRPr="00585B84">
      <w:rPr>
        <w:rFonts w:ascii="Times New Roman" w:eastAsia="Times New Roman" w:hAnsi="Times New Roman" w:cs="Times New Roman"/>
        <w:i/>
        <w:color w:val="365F91"/>
        <w:sz w:val="20"/>
        <w:szCs w:val="20"/>
      </w:rPr>
      <w:br/>
    </w:r>
  </w:p>
  <w:p w:rsidR="00585B84" w:rsidRDefault="00585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12"/>
    <w:rsid w:val="00265187"/>
    <w:rsid w:val="00367C4D"/>
    <w:rsid w:val="004341AC"/>
    <w:rsid w:val="00585B84"/>
    <w:rsid w:val="0066697C"/>
    <w:rsid w:val="00912A42"/>
    <w:rsid w:val="00932770"/>
    <w:rsid w:val="00B41359"/>
    <w:rsid w:val="00CA5312"/>
    <w:rsid w:val="00D35131"/>
    <w:rsid w:val="00E13A9D"/>
    <w:rsid w:val="00ED5B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85B84"/>
  </w:style>
  <w:style w:type="paragraph" w:styleId="Footer">
    <w:name w:val="footer"/>
    <w:basedOn w:val="Normal"/>
    <w:link w:val="FooterChar"/>
    <w:uiPriority w:val="99"/>
    <w:semiHidden/>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85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B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85B84"/>
  </w:style>
  <w:style w:type="paragraph" w:styleId="Footer">
    <w:name w:val="footer"/>
    <w:basedOn w:val="Normal"/>
    <w:link w:val="FooterChar"/>
    <w:uiPriority w:val="99"/>
    <w:semiHidden/>
    <w:unhideWhenUsed/>
    <w:rsid w:val="00585B8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8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dszkole1zywiec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8604</Characters>
  <Application>Microsoft Office Word</Application>
  <DocSecurity>0</DocSecurity>
  <Lines>71</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ZSP1_DYREKCJA</dc:creator>
  <cp:lastModifiedBy>Win</cp:lastModifiedBy>
  <cp:revision>2</cp:revision>
  <dcterms:created xsi:type="dcterms:W3CDTF">2018-03-01T15:17:00Z</dcterms:created>
  <dcterms:modified xsi:type="dcterms:W3CDTF">2018-03-01T15:17:00Z</dcterms:modified>
</cp:coreProperties>
</file>